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E11834" w14:textId="2B3E9CD6" w:rsidR="002A0285" w:rsidRPr="00B05998" w:rsidRDefault="002A0285" w:rsidP="002A0285">
      <w:pPr>
        <w:pStyle w:val="CRCoverPage"/>
        <w:tabs>
          <w:tab w:val="right" w:pos="9639"/>
        </w:tabs>
        <w:rPr>
          <w:b/>
          <w:noProof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#104b-e                                                 R1-</w:t>
      </w:r>
      <w:r w:rsidRPr="00B05998">
        <w:rPr>
          <w:b/>
          <w:noProof/>
          <w:sz w:val="24"/>
        </w:rPr>
        <w:t>2</w:t>
      </w:r>
      <w:r w:rsidR="00E36C1E">
        <w:rPr>
          <w:b/>
          <w:noProof/>
          <w:sz w:val="24"/>
        </w:rPr>
        <w:t>103090</w:t>
      </w:r>
      <w:r>
        <w:rPr>
          <w:b/>
          <w:i/>
          <w:noProof/>
          <w:sz w:val="28"/>
        </w:rPr>
        <w:tab/>
      </w:r>
    </w:p>
    <w:p w14:paraId="7C6A73A8" w14:textId="77777777" w:rsidR="002A0285" w:rsidRPr="000C3D4F" w:rsidRDefault="002A0285" w:rsidP="002A0285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8573AD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Pr="00860E57">
        <w:rPr>
          <w:rFonts w:eastAsia="MS Mincho" w:cs="Arial"/>
          <w:b/>
          <w:bCs/>
          <w:sz w:val="24"/>
          <w:szCs w:val="24"/>
          <w:lang w:val="en-US" w:eastAsia="ja-JP"/>
        </w:rPr>
        <w:t>April 12</w:t>
      </w:r>
      <w:r w:rsidRPr="00860E57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860E57">
        <w:rPr>
          <w:rFonts w:eastAsia="MS Mincho" w:cs="Arial"/>
          <w:b/>
          <w:bCs/>
          <w:sz w:val="24"/>
          <w:szCs w:val="24"/>
          <w:lang w:val="en-US" w:eastAsia="ja-JP"/>
        </w:rPr>
        <w:t xml:space="preserve"> – 20</w:t>
      </w:r>
      <w:r w:rsidRPr="00860E57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860E57">
        <w:rPr>
          <w:rFonts w:eastAsia="MS Mincho" w:cs="Arial"/>
          <w:b/>
          <w:bCs/>
          <w:sz w:val="24"/>
          <w:szCs w:val="24"/>
          <w:lang w:val="en-US" w:eastAsia="ja-JP"/>
        </w:rPr>
        <w:t>, 2021</w:t>
      </w:r>
    </w:p>
    <w:p w14:paraId="7532909A" w14:textId="77777777" w:rsidR="00B23EB7" w:rsidRPr="004527EA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4F88BFE0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FA538C">
        <w:rPr>
          <w:sz w:val="22"/>
          <w:szCs w:val="22"/>
        </w:rPr>
        <w:t>8.1.2.</w:t>
      </w:r>
      <w:r w:rsidR="008F535A">
        <w:rPr>
          <w:sz w:val="22"/>
          <w:szCs w:val="22"/>
        </w:rPr>
        <w:t>2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3FE1BDE8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4B4D8D">
        <w:rPr>
          <w:sz w:val="22"/>
          <w:szCs w:val="22"/>
        </w:rPr>
        <w:t xml:space="preserve">On </w:t>
      </w:r>
      <w:r w:rsidR="008F535A">
        <w:rPr>
          <w:sz w:val="22"/>
          <w:szCs w:val="22"/>
        </w:rPr>
        <w:t>Inter-Cell Multi-TRP</w:t>
      </w:r>
      <w:r w:rsidR="004B4D8D">
        <w:rPr>
          <w:sz w:val="22"/>
          <w:szCs w:val="22"/>
        </w:rPr>
        <w:t xml:space="preserve"> Enhancement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788F1F5F" w14:textId="10F35A0B" w:rsidR="00FA538C" w:rsidRDefault="00FA538C" w:rsidP="00FA538C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</w:t>
      </w:r>
      <w:r w:rsidR="004527EA">
        <w:rPr>
          <w:rFonts w:hint="eastAsia"/>
          <w:lang w:val="en-US" w:eastAsia="zh-CN"/>
        </w:rPr>
        <w:t>RAN</w:t>
      </w:r>
      <w:r w:rsidR="004527EA">
        <w:rPr>
          <w:lang w:val="en-US" w:eastAsia="zh-CN"/>
        </w:rPr>
        <w:t>1 #10</w:t>
      </w:r>
      <w:r w:rsidR="00631E79">
        <w:rPr>
          <w:lang w:val="en-US" w:eastAsia="zh-CN"/>
        </w:rPr>
        <w:t>4</w:t>
      </w:r>
      <w:r w:rsidR="004527EA">
        <w:rPr>
          <w:lang w:val="en-US" w:eastAsia="zh-CN"/>
        </w:rPr>
        <w:t xml:space="preserve"> meeting</w:t>
      </w:r>
      <w:r>
        <w:rPr>
          <w:rFonts w:hint="eastAsia"/>
          <w:lang w:val="en-US" w:eastAsia="zh-CN"/>
        </w:rPr>
        <w:t>,</w:t>
      </w:r>
      <w:r>
        <w:rPr>
          <w:lang w:val="en-US"/>
        </w:rPr>
        <w:t xml:space="preserve"> the following </w:t>
      </w:r>
      <w:r w:rsidR="004527EA">
        <w:rPr>
          <w:lang w:val="en-US"/>
        </w:rPr>
        <w:t>agreement on inter-cell multi-TRP operation have been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FA538C" w:rsidRPr="00631E79" w14:paraId="3ECC7DF1" w14:textId="77777777" w:rsidTr="00B9698A">
        <w:tc>
          <w:tcPr>
            <w:tcW w:w="9010" w:type="dxa"/>
          </w:tcPr>
          <w:p w14:paraId="32563A35" w14:textId="77777777" w:rsidR="00631E79" w:rsidRPr="00631E79" w:rsidRDefault="00631E79" w:rsidP="00631E79">
            <w:pPr>
              <w:rPr>
                <w:b/>
                <w:bCs/>
                <w:sz w:val="20"/>
                <w:szCs w:val="20"/>
                <w:lang w:eastAsia="x-none"/>
              </w:rPr>
            </w:pPr>
            <w:r w:rsidRPr="00631E79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103D06E" w14:textId="77777777" w:rsidR="00631E79" w:rsidRPr="00631E79" w:rsidRDefault="00631E79" w:rsidP="00631E79">
            <w:pPr>
              <w:rPr>
                <w:sz w:val="20"/>
                <w:szCs w:val="20"/>
                <w:lang w:eastAsia="x-none"/>
              </w:rPr>
            </w:pPr>
            <w:r w:rsidRPr="00631E79">
              <w:rPr>
                <w:sz w:val="20"/>
                <w:szCs w:val="20"/>
                <w:lang w:eastAsia="x-none"/>
              </w:rPr>
              <w:t>Non-serving cell information at least includes non-serving cell PCI to support inter-cell multi-DCI multi-TRP operation</w:t>
            </w:r>
          </w:p>
          <w:p w14:paraId="7A5FE93E" w14:textId="77777777" w:rsidR="00631E79" w:rsidRPr="00631E79" w:rsidRDefault="00631E79" w:rsidP="00631E79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FFS: Whether the indication of PCI is implicit or explicit</w:t>
            </w:r>
          </w:p>
          <w:p w14:paraId="4C83F532" w14:textId="77777777" w:rsidR="00631E79" w:rsidRPr="00631E79" w:rsidRDefault="00631E79" w:rsidP="00631E79">
            <w:pPr>
              <w:rPr>
                <w:sz w:val="20"/>
                <w:szCs w:val="20"/>
                <w:lang w:eastAsia="x-none"/>
              </w:rPr>
            </w:pPr>
          </w:p>
          <w:p w14:paraId="7D625ACC" w14:textId="77777777" w:rsidR="00631E79" w:rsidRPr="00631E79" w:rsidRDefault="00631E79" w:rsidP="00631E79">
            <w:pPr>
              <w:rPr>
                <w:rFonts w:eastAsia="Malgun Gothic"/>
                <w:b/>
                <w:bCs/>
                <w:iCs/>
                <w:sz w:val="20"/>
                <w:szCs w:val="20"/>
              </w:rPr>
            </w:pPr>
            <w:r w:rsidRPr="00631E79">
              <w:rPr>
                <w:rFonts w:eastAsia="Malgun Gothic"/>
                <w:b/>
                <w:bCs/>
                <w:iCs/>
                <w:sz w:val="20"/>
                <w:szCs w:val="20"/>
              </w:rPr>
              <w:t>Conclusion</w:t>
            </w:r>
          </w:p>
          <w:p w14:paraId="414249EE" w14:textId="77777777" w:rsidR="00631E79" w:rsidRPr="00631E79" w:rsidRDefault="00631E79" w:rsidP="00631E79">
            <w:pPr>
              <w:rPr>
                <w:rFonts w:eastAsia="Malgun Gothic"/>
                <w:bCs/>
                <w:iCs/>
                <w:sz w:val="20"/>
                <w:szCs w:val="20"/>
              </w:rPr>
            </w:pPr>
            <w:r w:rsidRPr="00631E79">
              <w:rPr>
                <w:rFonts w:eastAsia="Malgun Gothic"/>
                <w:bCs/>
                <w:iCs/>
                <w:sz w:val="20"/>
                <w:szCs w:val="20"/>
              </w:rPr>
              <w:t>Reuse Rel-15/16 QCL rule between the source and target RS/channel for non-serving cell RS/channel.</w:t>
            </w:r>
          </w:p>
          <w:p w14:paraId="43AF6427" w14:textId="77777777" w:rsidR="00631E79" w:rsidRPr="00631E79" w:rsidRDefault="00631E79" w:rsidP="00631E79">
            <w:pPr>
              <w:rPr>
                <w:rFonts w:eastAsia="Malgun Gothic"/>
                <w:bCs/>
                <w:iCs/>
                <w:sz w:val="20"/>
                <w:szCs w:val="20"/>
              </w:rPr>
            </w:pPr>
          </w:p>
          <w:p w14:paraId="3AA1FD17" w14:textId="77777777" w:rsidR="00631E79" w:rsidRPr="00631E79" w:rsidRDefault="00631E79" w:rsidP="00631E79">
            <w:pPr>
              <w:rPr>
                <w:rFonts w:eastAsia="Malgun Gothic"/>
                <w:b/>
                <w:bCs/>
                <w:iCs/>
                <w:sz w:val="20"/>
                <w:szCs w:val="20"/>
                <w:highlight w:val="green"/>
              </w:rPr>
            </w:pPr>
            <w:r w:rsidRPr="00631E79">
              <w:rPr>
                <w:rFonts w:eastAsia="Malgun Gothic"/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73773BC9" w14:textId="77777777" w:rsidR="00631E79" w:rsidRPr="00631E79" w:rsidRDefault="00631E79" w:rsidP="00631E79">
            <w:pPr>
              <w:rPr>
                <w:b/>
                <w:bCs/>
                <w:sz w:val="20"/>
                <w:szCs w:val="20"/>
              </w:rPr>
            </w:pPr>
            <w:r w:rsidRPr="00631E79">
              <w:rPr>
                <w:sz w:val="20"/>
                <w:szCs w:val="20"/>
              </w:rPr>
              <w:t xml:space="preserve">At least following non-serving cell SSB information are needed in inter-cell MTRP operation </w:t>
            </w:r>
          </w:p>
          <w:p w14:paraId="403D8575" w14:textId="77777777" w:rsidR="00631E79" w:rsidRPr="00631E79" w:rsidRDefault="00631E79" w:rsidP="00631E79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SSB time domain position</w:t>
            </w:r>
          </w:p>
          <w:p w14:paraId="1335A1AA" w14:textId="77777777" w:rsidR="00631E79" w:rsidRPr="00631E79" w:rsidRDefault="00631E79" w:rsidP="00631E79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SSB transmission periodicity</w:t>
            </w:r>
          </w:p>
          <w:p w14:paraId="0B87A72A" w14:textId="77777777" w:rsidR="00631E79" w:rsidRPr="00631E79" w:rsidRDefault="00631E79" w:rsidP="00631E79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SSB transmission power</w:t>
            </w:r>
          </w:p>
          <w:p w14:paraId="6E24B6C5" w14:textId="77777777" w:rsidR="00631E79" w:rsidRPr="00631E79" w:rsidRDefault="00631E79" w:rsidP="00631E7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631E79">
              <w:rPr>
                <w:sz w:val="20"/>
                <w:szCs w:val="20"/>
              </w:rPr>
              <w:t>FFS: Other non-serving cell information</w:t>
            </w:r>
          </w:p>
          <w:p w14:paraId="250D9676" w14:textId="62D22399" w:rsidR="00631E79" w:rsidRPr="00631E79" w:rsidRDefault="00631E79" w:rsidP="00631E7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631E79">
              <w:rPr>
                <w:sz w:val="20"/>
                <w:szCs w:val="20"/>
              </w:rPr>
              <w:t>FFS: Whether indication of these information is implicit or explicit</w:t>
            </w:r>
          </w:p>
          <w:p w14:paraId="035FE764" w14:textId="77777777" w:rsidR="00631E79" w:rsidRPr="00631E79" w:rsidRDefault="00631E79" w:rsidP="00631E79">
            <w:pPr>
              <w:rPr>
                <w:sz w:val="20"/>
                <w:szCs w:val="20"/>
                <w:lang w:eastAsia="x-none"/>
              </w:rPr>
            </w:pPr>
          </w:p>
          <w:p w14:paraId="113CA1C6" w14:textId="77777777" w:rsidR="00631E79" w:rsidRPr="00631E79" w:rsidRDefault="00631E79" w:rsidP="00631E79">
            <w:pPr>
              <w:rPr>
                <w:sz w:val="20"/>
                <w:szCs w:val="20"/>
                <w:lang w:val="en-US"/>
              </w:rPr>
            </w:pPr>
            <w:r w:rsidRPr="00631E79">
              <w:rPr>
                <w:rStyle w:val="Strong"/>
                <w:sz w:val="20"/>
                <w:szCs w:val="20"/>
                <w:highlight w:val="green"/>
              </w:rPr>
              <w:t>Agreement</w:t>
            </w:r>
          </w:p>
          <w:p w14:paraId="5E16F67B" w14:textId="77777777" w:rsidR="00631E79" w:rsidRPr="00631E79" w:rsidRDefault="00631E79" w:rsidP="00631E79">
            <w:pPr>
              <w:rPr>
                <w:sz w:val="20"/>
                <w:szCs w:val="20"/>
              </w:rPr>
            </w:pPr>
            <w:r w:rsidRPr="00631E79">
              <w:rPr>
                <w:sz w:val="20"/>
                <w:szCs w:val="20"/>
              </w:rPr>
              <w:t>For inter-cell MTRP operation, further discuss following options and down select in RAN1#104bis-e</w:t>
            </w:r>
          </w:p>
          <w:p w14:paraId="31FAA673" w14:textId="77777777" w:rsidR="00631E79" w:rsidRPr="00631E79" w:rsidRDefault="00631E79" w:rsidP="00631E79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Option1: Indicate/associate non-serving cell PCI in the TCI state</w:t>
            </w:r>
          </w:p>
          <w:p w14:paraId="77D0547A" w14:textId="77777777" w:rsidR="00631E79" w:rsidRPr="00631E79" w:rsidRDefault="00631E79" w:rsidP="00631E79">
            <w:pPr>
              <w:pStyle w:val="ListParagraph"/>
              <w:numPr>
                <w:ilvl w:val="1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FFS other non-serving cell information</w:t>
            </w:r>
          </w:p>
          <w:p w14:paraId="0E45D033" w14:textId="77777777" w:rsidR="00631E79" w:rsidRPr="00631E79" w:rsidRDefault="00631E79" w:rsidP="00631E79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Option2: Introduce a flag to indicate whether a TCI state/QCL information is associated with non-serving cell information or serving cell</w:t>
            </w:r>
          </w:p>
          <w:p w14:paraId="2750DC04" w14:textId="77777777" w:rsidR="00631E79" w:rsidRPr="00631E79" w:rsidRDefault="00631E79" w:rsidP="00631E79">
            <w:pPr>
              <w:pStyle w:val="ListParagraph"/>
              <w:numPr>
                <w:ilvl w:val="1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FFS: how the flag is linked to non-serving cell</w:t>
            </w:r>
          </w:p>
          <w:p w14:paraId="641554BA" w14:textId="77777777" w:rsidR="00631E79" w:rsidRPr="00631E79" w:rsidRDefault="00631E79" w:rsidP="00631E79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Option3: Explicit or implicit grouping of TCI states associated with non-serving cell information corresponding to the serving cell and the non-serving cell respectively.</w:t>
            </w:r>
          </w:p>
          <w:p w14:paraId="21604428" w14:textId="77777777" w:rsidR="00631E79" w:rsidRPr="00631E79" w:rsidRDefault="00631E79" w:rsidP="00631E79">
            <w:pPr>
              <w:pStyle w:val="ListParagraph"/>
              <w:numPr>
                <w:ilvl w:val="1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FFS: Each group is associated with a CORESETPoolIndex value.</w:t>
            </w:r>
          </w:p>
          <w:p w14:paraId="05236B2E" w14:textId="77777777" w:rsidR="00631E79" w:rsidRPr="00631E79" w:rsidRDefault="00631E79" w:rsidP="00631E79">
            <w:pPr>
              <w:pStyle w:val="ListParagraph"/>
              <w:numPr>
                <w:ilvl w:val="1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FFS: how to link the group of TCI states to non-serving cell.</w:t>
            </w:r>
          </w:p>
          <w:p w14:paraId="3AD3837A" w14:textId="77777777" w:rsidR="00631E79" w:rsidRPr="00631E79" w:rsidRDefault="00631E79" w:rsidP="00631E79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Option4: Re-index the non-serving cell RS, e.g., in the TCI state/QCL-Info, so that the UE can differentiate between a serving cell RS and a non-serving cell RS</w:t>
            </w:r>
          </w:p>
          <w:p w14:paraId="5F67A8E6" w14:textId="77777777" w:rsidR="00631E79" w:rsidRPr="00631E79" w:rsidRDefault="00631E79" w:rsidP="00631E79">
            <w:pPr>
              <w:pStyle w:val="ListParagraph"/>
              <w:numPr>
                <w:ilvl w:val="1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Example: serving cell RSs are indexed from #0, #1, …, #N-1, while non-serving cell RSs are re-indexed from #N, #N+1, …</w:t>
            </w:r>
          </w:p>
          <w:p w14:paraId="26C767A2" w14:textId="77777777" w:rsidR="00631E79" w:rsidRPr="00631E79" w:rsidRDefault="00631E79" w:rsidP="00631E79">
            <w:pPr>
              <w:pStyle w:val="ListParagraph"/>
              <w:numPr>
                <w:ilvl w:val="1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 xml:space="preserve">FFS: detailed re-indexing rule(s) of non-serving cell RSs </w:t>
            </w:r>
          </w:p>
          <w:p w14:paraId="4ADF70CA" w14:textId="77777777" w:rsidR="00631E79" w:rsidRPr="00631E79" w:rsidRDefault="00631E79" w:rsidP="00631E79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 xml:space="preserve">Option5: Introduce a new indicator (e.g., re-index the non-serving cell) to indicate the non-serving cell information that a TCI state/QCL information is associated with </w:t>
            </w:r>
          </w:p>
          <w:p w14:paraId="78F6E566" w14:textId="77777777" w:rsidR="00631E79" w:rsidRPr="00631E79" w:rsidRDefault="00631E79" w:rsidP="00631E79">
            <w:pPr>
              <w:pStyle w:val="ListParagraph"/>
              <w:numPr>
                <w:ilvl w:val="1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FFS: how the indicator is linked to non-serving cell</w:t>
            </w:r>
          </w:p>
          <w:p w14:paraId="32CB6919" w14:textId="77777777" w:rsidR="00631E79" w:rsidRPr="00631E79" w:rsidRDefault="00631E79" w:rsidP="00631E79">
            <w:pPr>
              <w:pStyle w:val="ListParagraph"/>
              <w:numPr>
                <w:ilvl w:val="1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Note: when there is only one non-serving cell, it means the same as Option2.</w:t>
            </w:r>
          </w:p>
          <w:p w14:paraId="408BC56A" w14:textId="77777777" w:rsidR="00631E79" w:rsidRPr="00631E79" w:rsidRDefault="00631E79" w:rsidP="00631E79">
            <w:pPr>
              <w:rPr>
                <w:rFonts w:eastAsia="DengXian"/>
                <w:bCs/>
                <w:iCs/>
                <w:sz w:val="20"/>
                <w:szCs w:val="20"/>
              </w:rPr>
            </w:pPr>
          </w:p>
          <w:p w14:paraId="4D214B79" w14:textId="77777777" w:rsidR="00631E79" w:rsidRPr="00631E79" w:rsidRDefault="00631E79" w:rsidP="00631E79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31E79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1159443D" w14:textId="77777777" w:rsidR="00631E79" w:rsidRPr="00631E79" w:rsidRDefault="00631E79" w:rsidP="00631E79">
            <w:pPr>
              <w:rPr>
                <w:sz w:val="20"/>
                <w:szCs w:val="20"/>
              </w:rPr>
            </w:pPr>
            <w:r w:rsidRPr="00631E79">
              <w:rPr>
                <w:sz w:val="20"/>
                <w:szCs w:val="20"/>
              </w:rPr>
              <w:t>Agree on scheme1</w:t>
            </w:r>
          </w:p>
          <w:p w14:paraId="289BA57D" w14:textId="77777777" w:rsidR="00631E79" w:rsidRPr="00631E79" w:rsidRDefault="00631E79" w:rsidP="00631E79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lastRenderedPageBreak/>
              <w:t>Scheme1: PDSCH/PDCCH from non-serving cell (PCI) associated with TCI state and/or QCL-info is rate matched around non-serving cell SSB with the same PCI</w:t>
            </w:r>
          </w:p>
          <w:p w14:paraId="76287144" w14:textId="77777777" w:rsidR="00631E79" w:rsidRPr="00631E79" w:rsidRDefault="00631E79" w:rsidP="00631E79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 xml:space="preserve">FFS: whether PDSCH /PDCCH from serving cell (PCI) is rate matched around non-serving cell SSB </w:t>
            </w:r>
          </w:p>
          <w:p w14:paraId="088E3B23" w14:textId="77777777" w:rsidR="00631E79" w:rsidRPr="00631E79" w:rsidRDefault="00631E79" w:rsidP="00631E79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FFS: whether PDSCH/PDCCH from non-serving cell (PCI) associated with TCI state and/or QCL-info is rate matched around serving cell SSB</w:t>
            </w:r>
          </w:p>
          <w:p w14:paraId="537F63E3" w14:textId="77777777" w:rsidR="00631E79" w:rsidRPr="00631E79" w:rsidRDefault="00631E79" w:rsidP="00631E79">
            <w:pPr>
              <w:rPr>
                <w:rFonts w:eastAsia="DengXian"/>
                <w:bCs/>
                <w:iCs/>
                <w:sz w:val="20"/>
                <w:szCs w:val="20"/>
              </w:rPr>
            </w:pPr>
          </w:p>
          <w:p w14:paraId="5927E1D1" w14:textId="77777777" w:rsidR="00631E79" w:rsidRPr="00631E79" w:rsidRDefault="00631E79" w:rsidP="00631E79">
            <w:pPr>
              <w:rPr>
                <w:rFonts w:eastAsia="DengXian"/>
                <w:b/>
                <w:bCs/>
                <w:iCs/>
                <w:sz w:val="20"/>
                <w:szCs w:val="20"/>
                <w:lang w:val="en-US"/>
              </w:rPr>
            </w:pPr>
            <w:r w:rsidRPr="00631E79">
              <w:rPr>
                <w:rFonts w:eastAsia="DengXian"/>
                <w:b/>
                <w:bCs/>
                <w:iCs/>
                <w:sz w:val="20"/>
                <w:szCs w:val="20"/>
                <w:lang w:val="en-US"/>
              </w:rPr>
              <w:t>Conclusion</w:t>
            </w:r>
          </w:p>
          <w:p w14:paraId="6A0EED68" w14:textId="77777777" w:rsidR="00631E79" w:rsidRPr="00631E79" w:rsidRDefault="00631E79" w:rsidP="00631E79">
            <w:pPr>
              <w:rPr>
                <w:rFonts w:eastAsia="DengXian"/>
                <w:bCs/>
                <w:iCs/>
                <w:sz w:val="20"/>
                <w:szCs w:val="20"/>
                <w:lang w:val="en-US"/>
              </w:rPr>
            </w:pPr>
            <w:r w:rsidRPr="00631E79">
              <w:rPr>
                <w:rFonts w:eastAsia="DengXian"/>
                <w:bCs/>
                <w:iCs/>
                <w:sz w:val="20"/>
                <w:szCs w:val="20"/>
                <w:lang w:val="en-US"/>
              </w:rPr>
              <w:t>The UE may assume received DL transmission from multiple TRP within a CP in FR1 and FR2.</w:t>
            </w:r>
          </w:p>
          <w:p w14:paraId="59B6B0DB" w14:textId="77777777" w:rsidR="00631E79" w:rsidRPr="00631E79" w:rsidRDefault="00631E79" w:rsidP="00631E79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59" w:lineRule="auto"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631E79">
              <w:rPr>
                <w:rFonts w:ascii="Times New Roman" w:hAnsi="Times New Roman"/>
                <w:szCs w:val="20"/>
              </w:rPr>
              <w:t>Note: This does not imply that RAN1 intends to ask RAN4 to tighten network synchronization requirements.</w:t>
            </w:r>
          </w:p>
          <w:p w14:paraId="5F32E6C8" w14:textId="77777777" w:rsidR="00FA538C" w:rsidRPr="00631E79" w:rsidRDefault="00FA538C" w:rsidP="00FA538C">
            <w:pPr>
              <w:pStyle w:val="ListParagraph"/>
              <w:ind w:leftChars="0" w:left="3240" w:firstLine="0"/>
              <w:jc w:val="both"/>
              <w:rPr>
                <w:rFonts w:ascii="Times New Roman" w:hAnsi="Times New Roman"/>
                <w:szCs w:val="20"/>
                <w:lang w:val="en-US"/>
              </w:rPr>
            </w:pPr>
          </w:p>
        </w:tc>
      </w:tr>
    </w:tbl>
    <w:p w14:paraId="460866FC" w14:textId="77777777" w:rsidR="00FA538C" w:rsidRDefault="00FA538C" w:rsidP="00FA538C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4B63A29E" w14:textId="2CF026D4" w:rsidR="00FA538C" w:rsidRPr="0005612B" w:rsidRDefault="00FA538C" w:rsidP="00FA538C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some discussion on </w:t>
      </w:r>
      <w:r w:rsidR="008F535A">
        <w:rPr>
          <w:lang w:val="en-US"/>
        </w:rPr>
        <w:t>inter-cell multi-TRP</w:t>
      </w:r>
      <w:r>
        <w:rPr>
          <w:lang w:val="en-US"/>
        </w:rPr>
        <w:t xml:space="preserve"> enhancement.</w:t>
      </w:r>
    </w:p>
    <w:p w14:paraId="3529C3F4" w14:textId="06C063B1" w:rsidR="00732388" w:rsidRDefault="008F535A" w:rsidP="00D623A6">
      <w:pPr>
        <w:pStyle w:val="Heading1"/>
      </w:pPr>
      <w:r>
        <w:t>Discussion</w:t>
      </w:r>
    </w:p>
    <w:p w14:paraId="392FBD40" w14:textId="1A00454D" w:rsidR="00A13568" w:rsidRPr="00A13568" w:rsidRDefault="00A13568" w:rsidP="00A13568">
      <w:pPr>
        <w:pStyle w:val="Heading2"/>
      </w:pPr>
      <w:r>
        <w:t>Details on configuration of non-serving cell RS</w:t>
      </w:r>
    </w:p>
    <w:p w14:paraId="5220FA50" w14:textId="1F1A55C8" w:rsidR="0079632E" w:rsidRDefault="0079632E" w:rsidP="008F535A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In RAN1 #10</w:t>
      </w:r>
      <w:r w:rsidR="00631E79">
        <w:rPr>
          <w:lang w:val="en-US" w:eastAsia="zh-CN"/>
        </w:rPr>
        <w:t>4</w:t>
      </w:r>
      <w:r>
        <w:rPr>
          <w:lang w:val="en-US" w:eastAsia="zh-CN"/>
        </w:rPr>
        <w:t xml:space="preserve">, </w:t>
      </w:r>
      <w:r w:rsidR="00631E79">
        <w:rPr>
          <w:lang w:val="en-US" w:eastAsia="zh-CN"/>
        </w:rPr>
        <w:t>the following 5 options on TCI and non-serving cell RS association are agreed for further down-selection.</w:t>
      </w:r>
    </w:p>
    <w:p w14:paraId="2E6BB404" w14:textId="77777777" w:rsidR="00631E79" w:rsidRPr="00631E79" w:rsidRDefault="00631E79" w:rsidP="00631E79">
      <w:pPr>
        <w:rPr>
          <w:sz w:val="20"/>
          <w:szCs w:val="20"/>
          <w:lang w:val="en-US"/>
        </w:rPr>
      </w:pPr>
      <w:r w:rsidRPr="00631E79">
        <w:rPr>
          <w:rStyle w:val="Strong"/>
          <w:sz w:val="20"/>
          <w:szCs w:val="20"/>
          <w:highlight w:val="green"/>
        </w:rPr>
        <w:t>Agreement</w:t>
      </w:r>
    </w:p>
    <w:p w14:paraId="74E5C036" w14:textId="77777777" w:rsidR="00631E79" w:rsidRPr="00631E79" w:rsidRDefault="00631E79" w:rsidP="00631E79">
      <w:pPr>
        <w:rPr>
          <w:sz w:val="20"/>
          <w:szCs w:val="20"/>
        </w:rPr>
      </w:pPr>
      <w:r w:rsidRPr="00631E79">
        <w:rPr>
          <w:sz w:val="20"/>
          <w:szCs w:val="20"/>
        </w:rPr>
        <w:t>For inter-cell MTRP operation, further discuss following options and down select in RAN1#104bis-e</w:t>
      </w:r>
    </w:p>
    <w:p w14:paraId="2D0BD1C0" w14:textId="77777777" w:rsidR="00631E79" w:rsidRPr="00631E79" w:rsidRDefault="00631E79" w:rsidP="00631E79">
      <w:pPr>
        <w:pStyle w:val="ListParagraph"/>
        <w:numPr>
          <w:ilvl w:val="0"/>
          <w:numId w:val="28"/>
        </w:numPr>
        <w:shd w:val="clear" w:color="auto" w:fill="FFFFFF"/>
        <w:spacing w:line="259" w:lineRule="auto"/>
        <w:ind w:leftChars="0"/>
        <w:contextualSpacing/>
        <w:rPr>
          <w:rFonts w:ascii="Times New Roman" w:hAnsi="Times New Roman"/>
          <w:szCs w:val="20"/>
        </w:rPr>
      </w:pPr>
      <w:r w:rsidRPr="00631E79">
        <w:rPr>
          <w:rFonts w:ascii="Times New Roman" w:hAnsi="Times New Roman"/>
          <w:szCs w:val="20"/>
        </w:rPr>
        <w:t>Option1: Indicate/associate non-serving cell PCI in the TCI state</w:t>
      </w:r>
    </w:p>
    <w:p w14:paraId="397A8F96" w14:textId="77777777" w:rsidR="00631E79" w:rsidRPr="00631E79" w:rsidRDefault="00631E79" w:rsidP="00631E79">
      <w:pPr>
        <w:pStyle w:val="ListParagraph"/>
        <w:numPr>
          <w:ilvl w:val="1"/>
          <w:numId w:val="28"/>
        </w:numPr>
        <w:shd w:val="clear" w:color="auto" w:fill="FFFFFF"/>
        <w:spacing w:line="259" w:lineRule="auto"/>
        <w:ind w:leftChars="0"/>
        <w:contextualSpacing/>
        <w:rPr>
          <w:rFonts w:ascii="Times New Roman" w:hAnsi="Times New Roman"/>
          <w:szCs w:val="20"/>
        </w:rPr>
      </w:pPr>
      <w:r w:rsidRPr="00631E79">
        <w:rPr>
          <w:rFonts w:ascii="Times New Roman" w:hAnsi="Times New Roman"/>
          <w:szCs w:val="20"/>
        </w:rPr>
        <w:t>FFS other non-serving cell information</w:t>
      </w:r>
    </w:p>
    <w:p w14:paraId="2DE3495B" w14:textId="77777777" w:rsidR="00631E79" w:rsidRPr="00631E79" w:rsidRDefault="00631E79" w:rsidP="00631E79">
      <w:pPr>
        <w:pStyle w:val="ListParagraph"/>
        <w:numPr>
          <w:ilvl w:val="0"/>
          <w:numId w:val="28"/>
        </w:numPr>
        <w:shd w:val="clear" w:color="auto" w:fill="FFFFFF"/>
        <w:spacing w:line="259" w:lineRule="auto"/>
        <w:ind w:leftChars="0"/>
        <w:contextualSpacing/>
        <w:rPr>
          <w:rFonts w:ascii="Times New Roman" w:hAnsi="Times New Roman"/>
          <w:szCs w:val="20"/>
        </w:rPr>
      </w:pPr>
      <w:r w:rsidRPr="00631E79">
        <w:rPr>
          <w:rFonts w:ascii="Times New Roman" w:hAnsi="Times New Roman"/>
          <w:szCs w:val="20"/>
        </w:rPr>
        <w:t>Option2: Introduce a flag to indicate whether a TCI state/QCL information is associated with non-serving cell information or serving cell</w:t>
      </w:r>
    </w:p>
    <w:p w14:paraId="0381F610" w14:textId="77777777" w:rsidR="00631E79" w:rsidRPr="00631E79" w:rsidRDefault="00631E79" w:rsidP="00631E79">
      <w:pPr>
        <w:pStyle w:val="ListParagraph"/>
        <w:numPr>
          <w:ilvl w:val="1"/>
          <w:numId w:val="28"/>
        </w:numPr>
        <w:shd w:val="clear" w:color="auto" w:fill="FFFFFF"/>
        <w:spacing w:line="259" w:lineRule="auto"/>
        <w:ind w:leftChars="0"/>
        <w:contextualSpacing/>
        <w:rPr>
          <w:rFonts w:ascii="Times New Roman" w:hAnsi="Times New Roman"/>
          <w:szCs w:val="20"/>
        </w:rPr>
      </w:pPr>
      <w:r w:rsidRPr="00631E79">
        <w:rPr>
          <w:rFonts w:ascii="Times New Roman" w:hAnsi="Times New Roman"/>
          <w:szCs w:val="20"/>
        </w:rPr>
        <w:t>FFS: how the flag is linked to non-serving cell</w:t>
      </w:r>
    </w:p>
    <w:p w14:paraId="2BC97AA9" w14:textId="77777777" w:rsidR="00631E79" w:rsidRPr="00631E79" w:rsidRDefault="00631E79" w:rsidP="00631E79">
      <w:pPr>
        <w:pStyle w:val="ListParagraph"/>
        <w:numPr>
          <w:ilvl w:val="0"/>
          <w:numId w:val="28"/>
        </w:numPr>
        <w:shd w:val="clear" w:color="auto" w:fill="FFFFFF"/>
        <w:spacing w:line="259" w:lineRule="auto"/>
        <w:ind w:leftChars="0"/>
        <w:contextualSpacing/>
        <w:rPr>
          <w:rFonts w:ascii="Times New Roman" w:hAnsi="Times New Roman"/>
          <w:szCs w:val="20"/>
        </w:rPr>
      </w:pPr>
      <w:r w:rsidRPr="00631E79">
        <w:rPr>
          <w:rFonts w:ascii="Times New Roman" w:hAnsi="Times New Roman"/>
          <w:szCs w:val="20"/>
        </w:rPr>
        <w:t>Option3: Explicit or implicit grouping of TCI states associated with non-serving cell information corresponding to the serving cell and the non-serving cell respectively.</w:t>
      </w:r>
    </w:p>
    <w:p w14:paraId="6B737DBC" w14:textId="77777777" w:rsidR="00631E79" w:rsidRPr="00631E79" w:rsidRDefault="00631E79" w:rsidP="00631E79">
      <w:pPr>
        <w:pStyle w:val="ListParagraph"/>
        <w:numPr>
          <w:ilvl w:val="1"/>
          <w:numId w:val="28"/>
        </w:numPr>
        <w:shd w:val="clear" w:color="auto" w:fill="FFFFFF"/>
        <w:spacing w:line="259" w:lineRule="auto"/>
        <w:ind w:leftChars="0"/>
        <w:contextualSpacing/>
        <w:rPr>
          <w:rFonts w:ascii="Times New Roman" w:hAnsi="Times New Roman"/>
          <w:szCs w:val="20"/>
        </w:rPr>
      </w:pPr>
      <w:r w:rsidRPr="00631E79">
        <w:rPr>
          <w:rFonts w:ascii="Times New Roman" w:hAnsi="Times New Roman"/>
          <w:szCs w:val="20"/>
        </w:rPr>
        <w:t>FFS: Each group is associated with a CORESETPoolIndex value.</w:t>
      </w:r>
    </w:p>
    <w:p w14:paraId="48AB750E" w14:textId="77777777" w:rsidR="00631E79" w:rsidRPr="00631E79" w:rsidRDefault="00631E79" w:rsidP="00631E79">
      <w:pPr>
        <w:pStyle w:val="ListParagraph"/>
        <w:numPr>
          <w:ilvl w:val="1"/>
          <w:numId w:val="28"/>
        </w:numPr>
        <w:shd w:val="clear" w:color="auto" w:fill="FFFFFF"/>
        <w:spacing w:line="259" w:lineRule="auto"/>
        <w:ind w:leftChars="0"/>
        <w:contextualSpacing/>
        <w:rPr>
          <w:rFonts w:ascii="Times New Roman" w:hAnsi="Times New Roman"/>
          <w:szCs w:val="20"/>
        </w:rPr>
      </w:pPr>
      <w:r w:rsidRPr="00631E79">
        <w:rPr>
          <w:rFonts w:ascii="Times New Roman" w:hAnsi="Times New Roman"/>
          <w:szCs w:val="20"/>
        </w:rPr>
        <w:t>FFS: how to link the group of TCI states to non-serving cell.</w:t>
      </w:r>
    </w:p>
    <w:p w14:paraId="74B67951" w14:textId="77777777" w:rsidR="00631E79" w:rsidRPr="00631E79" w:rsidRDefault="00631E79" w:rsidP="00631E79">
      <w:pPr>
        <w:pStyle w:val="ListParagraph"/>
        <w:numPr>
          <w:ilvl w:val="0"/>
          <w:numId w:val="28"/>
        </w:numPr>
        <w:shd w:val="clear" w:color="auto" w:fill="FFFFFF"/>
        <w:spacing w:line="259" w:lineRule="auto"/>
        <w:ind w:leftChars="0"/>
        <w:contextualSpacing/>
        <w:rPr>
          <w:rFonts w:ascii="Times New Roman" w:hAnsi="Times New Roman"/>
          <w:szCs w:val="20"/>
        </w:rPr>
      </w:pPr>
      <w:r w:rsidRPr="00631E79">
        <w:rPr>
          <w:rFonts w:ascii="Times New Roman" w:hAnsi="Times New Roman"/>
          <w:szCs w:val="20"/>
        </w:rPr>
        <w:t>Option4: Re-index the non-serving cell RS, e.g., in the TCI state/QCL-Info, so that the UE can differentiate between a serving cell RS and a non-serving cell RS</w:t>
      </w:r>
    </w:p>
    <w:p w14:paraId="17591376" w14:textId="77777777" w:rsidR="00631E79" w:rsidRPr="00631E79" w:rsidRDefault="00631E79" w:rsidP="00631E79">
      <w:pPr>
        <w:pStyle w:val="ListParagraph"/>
        <w:numPr>
          <w:ilvl w:val="1"/>
          <w:numId w:val="28"/>
        </w:numPr>
        <w:shd w:val="clear" w:color="auto" w:fill="FFFFFF"/>
        <w:spacing w:line="259" w:lineRule="auto"/>
        <w:ind w:leftChars="0"/>
        <w:contextualSpacing/>
        <w:rPr>
          <w:rFonts w:ascii="Times New Roman" w:hAnsi="Times New Roman"/>
          <w:szCs w:val="20"/>
        </w:rPr>
      </w:pPr>
      <w:r w:rsidRPr="00631E79">
        <w:rPr>
          <w:rFonts w:ascii="Times New Roman" w:hAnsi="Times New Roman"/>
          <w:szCs w:val="20"/>
        </w:rPr>
        <w:t>Example: serving cell RSs are indexed from #0, #1, …, #N-1, while non-serving cell RSs are re-indexed from #N, #N+1, …</w:t>
      </w:r>
    </w:p>
    <w:p w14:paraId="4F4C533C" w14:textId="77777777" w:rsidR="00631E79" w:rsidRPr="00631E79" w:rsidRDefault="00631E79" w:rsidP="00631E79">
      <w:pPr>
        <w:pStyle w:val="ListParagraph"/>
        <w:numPr>
          <w:ilvl w:val="1"/>
          <w:numId w:val="28"/>
        </w:numPr>
        <w:shd w:val="clear" w:color="auto" w:fill="FFFFFF"/>
        <w:spacing w:line="259" w:lineRule="auto"/>
        <w:ind w:leftChars="0"/>
        <w:contextualSpacing/>
        <w:rPr>
          <w:rFonts w:ascii="Times New Roman" w:hAnsi="Times New Roman"/>
          <w:szCs w:val="20"/>
        </w:rPr>
      </w:pPr>
      <w:r w:rsidRPr="00631E79">
        <w:rPr>
          <w:rFonts w:ascii="Times New Roman" w:hAnsi="Times New Roman"/>
          <w:szCs w:val="20"/>
        </w:rPr>
        <w:t xml:space="preserve">FFS: detailed re-indexing rule(s) of non-serving cell RSs </w:t>
      </w:r>
    </w:p>
    <w:p w14:paraId="3E21F592" w14:textId="77777777" w:rsidR="00631E79" w:rsidRPr="00631E79" w:rsidRDefault="00631E79" w:rsidP="00631E79">
      <w:pPr>
        <w:pStyle w:val="ListParagraph"/>
        <w:numPr>
          <w:ilvl w:val="0"/>
          <w:numId w:val="28"/>
        </w:numPr>
        <w:shd w:val="clear" w:color="auto" w:fill="FFFFFF"/>
        <w:spacing w:line="259" w:lineRule="auto"/>
        <w:ind w:leftChars="0"/>
        <w:contextualSpacing/>
        <w:rPr>
          <w:rFonts w:ascii="Times New Roman" w:hAnsi="Times New Roman"/>
          <w:szCs w:val="20"/>
        </w:rPr>
      </w:pPr>
      <w:r w:rsidRPr="00631E79">
        <w:rPr>
          <w:rFonts w:ascii="Times New Roman" w:hAnsi="Times New Roman"/>
          <w:szCs w:val="20"/>
        </w:rPr>
        <w:t xml:space="preserve">Option5: Introduce a new indicator (e.g., re-index the non-serving cell) to indicate the non-serving cell information that a TCI state/QCL information is associated with </w:t>
      </w:r>
    </w:p>
    <w:p w14:paraId="37D6B489" w14:textId="77777777" w:rsidR="00631E79" w:rsidRPr="00631E79" w:rsidRDefault="00631E79" w:rsidP="00631E79">
      <w:pPr>
        <w:pStyle w:val="ListParagraph"/>
        <w:numPr>
          <w:ilvl w:val="1"/>
          <w:numId w:val="28"/>
        </w:numPr>
        <w:shd w:val="clear" w:color="auto" w:fill="FFFFFF"/>
        <w:spacing w:line="259" w:lineRule="auto"/>
        <w:ind w:leftChars="0"/>
        <w:contextualSpacing/>
        <w:rPr>
          <w:rFonts w:ascii="Times New Roman" w:hAnsi="Times New Roman"/>
          <w:szCs w:val="20"/>
        </w:rPr>
      </w:pPr>
      <w:r w:rsidRPr="00631E79">
        <w:rPr>
          <w:rFonts w:ascii="Times New Roman" w:hAnsi="Times New Roman"/>
          <w:szCs w:val="20"/>
        </w:rPr>
        <w:t>FFS: how the indicator is linked to non-serving cell</w:t>
      </w:r>
    </w:p>
    <w:p w14:paraId="42D8C516" w14:textId="77777777" w:rsidR="00631E79" w:rsidRPr="00631E79" w:rsidRDefault="00631E79" w:rsidP="00631E79">
      <w:pPr>
        <w:pStyle w:val="ListParagraph"/>
        <w:numPr>
          <w:ilvl w:val="1"/>
          <w:numId w:val="28"/>
        </w:numPr>
        <w:shd w:val="clear" w:color="auto" w:fill="FFFFFF"/>
        <w:spacing w:line="259" w:lineRule="auto"/>
        <w:ind w:leftChars="0"/>
        <w:contextualSpacing/>
        <w:rPr>
          <w:rFonts w:ascii="Times New Roman" w:hAnsi="Times New Roman"/>
          <w:szCs w:val="20"/>
        </w:rPr>
      </w:pPr>
      <w:r w:rsidRPr="00631E79">
        <w:rPr>
          <w:rFonts w:ascii="Times New Roman" w:hAnsi="Times New Roman"/>
          <w:szCs w:val="20"/>
        </w:rPr>
        <w:t>Note: when there is only one non-serving cell, it means the same as Option2.</w:t>
      </w:r>
    </w:p>
    <w:p w14:paraId="4C075F62" w14:textId="5362FB1F" w:rsidR="00631E79" w:rsidRDefault="00631E79" w:rsidP="008F535A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p w14:paraId="1748C63B" w14:textId="4E549F1D" w:rsidR="00631E79" w:rsidRPr="00631E79" w:rsidRDefault="00631E79" w:rsidP="008F535A">
      <w:pPr>
        <w:pStyle w:val="0Maintext"/>
        <w:spacing w:after="120" w:afterAutospacing="0" w:line="240" w:lineRule="auto"/>
        <w:ind w:firstLine="0"/>
        <w:rPr>
          <w:lang w:eastAsia="zh-CN"/>
        </w:rPr>
      </w:pPr>
      <w:r>
        <w:rPr>
          <w:lang w:eastAsia="zh-CN"/>
        </w:rPr>
        <w:t>Option 1 is to indicate a PCI in the TCI state. But SSB can only be provided in the TCI for CSI-RS</w:t>
      </w:r>
      <w:r w:rsidR="000D0B8C">
        <w:rPr>
          <w:lang w:eastAsia="zh-CN"/>
        </w:rPr>
        <w:t>, and this may be with higher overhead, since only few cells may be enabled for multi-TRP operation. Option 2, 3 and 5 are quite similar, and the only difference is whether the indication is based on a kind of 1-bit flag or group index or a multi-bit indicator. Option 4 may need additional signalling to maintain the variable N, and may not have a good forward compatibility to support more than 2 TRP.</w:t>
      </w:r>
    </w:p>
    <w:p w14:paraId="6F125C4C" w14:textId="3E40FFCD" w:rsidR="00631E79" w:rsidRPr="00FB6A72" w:rsidRDefault="000D0B8C" w:rsidP="008F535A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FB6A72">
        <w:rPr>
          <w:b/>
          <w:bCs/>
          <w:i/>
          <w:iCs/>
          <w:lang w:val="en-US" w:eastAsia="zh-CN"/>
        </w:rPr>
        <w:t>Proposal</w:t>
      </w:r>
      <w:r w:rsidR="00FB6A72" w:rsidRPr="00FB6A72">
        <w:rPr>
          <w:b/>
          <w:bCs/>
          <w:i/>
          <w:iCs/>
          <w:lang w:val="en-US" w:eastAsia="zh-CN"/>
        </w:rPr>
        <w:t xml:space="preserve"> 1</w:t>
      </w:r>
      <w:r w:rsidRPr="00FB6A72">
        <w:rPr>
          <w:b/>
          <w:bCs/>
          <w:i/>
          <w:iCs/>
          <w:lang w:val="en-US" w:eastAsia="zh-CN"/>
        </w:rPr>
        <w:t>: For inter-cell multi-TRP operation, support option 2/3/5 to define the association between TCI and non-serving cell information, where an indicator can be used to provide the linkage between non-serving cell information and a TCI</w:t>
      </w:r>
    </w:p>
    <w:p w14:paraId="77DEA014" w14:textId="230E3B10" w:rsidR="000D0B8C" w:rsidRPr="00FB6A72" w:rsidRDefault="000D0B8C" w:rsidP="000D0B8C">
      <w:pPr>
        <w:pStyle w:val="0Maintext"/>
        <w:numPr>
          <w:ilvl w:val="0"/>
          <w:numId w:val="29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FB6A72">
        <w:rPr>
          <w:b/>
          <w:bCs/>
          <w:i/>
          <w:iCs/>
          <w:lang w:val="en-US" w:eastAsia="zh-CN"/>
        </w:rPr>
        <w:t xml:space="preserve">The TCI with the same indicator should be </w:t>
      </w:r>
      <w:r w:rsidR="00FB6A72" w:rsidRPr="00FB6A72">
        <w:rPr>
          <w:b/>
          <w:bCs/>
          <w:i/>
          <w:iCs/>
          <w:lang w:val="en-US" w:eastAsia="zh-CN"/>
        </w:rPr>
        <w:t>associated with the same CORESETPoolIndex</w:t>
      </w:r>
    </w:p>
    <w:p w14:paraId="6F9804BA" w14:textId="50427EB5" w:rsidR="003A7CA0" w:rsidRDefault="00FB6A72" w:rsidP="003A7CA0">
      <w:pPr>
        <w:pStyle w:val="Heading2"/>
      </w:pPr>
      <w:r>
        <w:lastRenderedPageBreak/>
        <w:t>Rate matching</w:t>
      </w:r>
    </w:p>
    <w:p w14:paraId="11B2D837" w14:textId="2F3C8F8E" w:rsidR="00FB6A72" w:rsidRDefault="00FB6A72" w:rsidP="004D79CD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RAN1 #104, it was agreed that </w:t>
      </w:r>
      <w:r w:rsidRPr="00631E79">
        <w:rPr>
          <w:rFonts w:cs="Times New Roman"/>
        </w:rPr>
        <w:t>PDSCH/PDCCH from non-serving cell (PCI) associated with TCI state and/or QCL-info is rate matched around non-serving cell SSB with the same PCI</w:t>
      </w:r>
      <w:r>
        <w:rPr>
          <w:lang w:val="en-US" w:eastAsia="zh-CN"/>
        </w:rPr>
        <w:t>. Thus, the remaining issue is whether the cross-cell rate matching is needed. This should depend on whether UE uses advanced receiver for interference cancellation. Since the non-serving cell SSB may be from different beams and some may create strong interference to the UE. So, it is better to introduce a UE capability on whether the cross-cell rate matching is needed.</w:t>
      </w:r>
    </w:p>
    <w:p w14:paraId="0639F6AE" w14:textId="46B88113" w:rsidR="00232EDC" w:rsidRPr="00232EDC" w:rsidRDefault="00232EDC" w:rsidP="004D79CD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232EDC">
        <w:rPr>
          <w:b/>
          <w:bCs/>
          <w:i/>
          <w:iCs/>
          <w:lang w:val="en-US" w:eastAsia="zh-CN"/>
        </w:rPr>
        <w:t xml:space="preserve">Proposal </w:t>
      </w:r>
      <w:r w:rsidR="00FB6A72">
        <w:rPr>
          <w:b/>
          <w:bCs/>
          <w:i/>
          <w:iCs/>
          <w:lang w:val="en-US" w:eastAsia="zh-CN"/>
        </w:rPr>
        <w:t>2</w:t>
      </w:r>
      <w:r w:rsidRPr="00232EDC">
        <w:rPr>
          <w:b/>
          <w:bCs/>
          <w:i/>
          <w:iCs/>
          <w:lang w:val="en-US" w:eastAsia="zh-CN"/>
        </w:rPr>
        <w:t xml:space="preserve">: </w:t>
      </w:r>
      <w:r w:rsidR="00FB6A72">
        <w:rPr>
          <w:b/>
          <w:bCs/>
          <w:i/>
          <w:iCs/>
          <w:lang w:val="en-US" w:eastAsia="zh-CN"/>
        </w:rPr>
        <w:t>Support to introduce a UE capability to report the following information</w:t>
      </w:r>
    </w:p>
    <w:p w14:paraId="43A0A95D" w14:textId="15517424" w:rsidR="00FB6A72" w:rsidRPr="00FB6A72" w:rsidRDefault="00FB6A72" w:rsidP="00FB6A72">
      <w:pPr>
        <w:pStyle w:val="0Maintext"/>
        <w:numPr>
          <w:ilvl w:val="0"/>
          <w:numId w:val="25"/>
        </w:numPr>
        <w:spacing w:after="120" w:line="240" w:lineRule="auto"/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>W</w:t>
      </w:r>
      <w:r w:rsidRPr="00FB6A72">
        <w:rPr>
          <w:b/>
          <w:bCs/>
          <w:i/>
          <w:iCs/>
          <w:lang w:eastAsia="zh-CN"/>
        </w:rPr>
        <w:t xml:space="preserve">hether PDSCH /PDCCH from serving cell (PCI) is rate matched around non-serving cell SSB </w:t>
      </w:r>
    </w:p>
    <w:p w14:paraId="742A7822" w14:textId="059B6DC2" w:rsidR="004D79CD" w:rsidRPr="003534EB" w:rsidRDefault="00FB6A72" w:rsidP="003534EB">
      <w:pPr>
        <w:pStyle w:val="0Maintext"/>
        <w:numPr>
          <w:ilvl w:val="0"/>
          <w:numId w:val="25"/>
        </w:numPr>
        <w:spacing w:after="120"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t>Whether</w:t>
      </w:r>
      <w:r w:rsidRPr="00FB6A72">
        <w:rPr>
          <w:b/>
          <w:bCs/>
          <w:i/>
          <w:iCs/>
        </w:rPr>
        <w:t xml:space="preserve"> PDSCH/PDCCH from non-serving cell (PCI) associated with TCI state and/or QCL-info is rate matched around serving cell SSB</w:t>
      </w:r>
    </w:p>
    <w:p w14:paraId="319B6700" w14:textId="2C7FF69F" w:rsidR="007A1F9E" w:rsidRDefault="007A1F9E" w:rsidP="007A1F9E">
      <w:pPr>
        <w:pStyle w:val="Heading1"/>
      </w:pPr>
      <w:r>
        <w:t>Conclusion</w:t>
      </w:r>
    </w:p>
    <w:p w14:paraId="493C61C7" w14:textId="64378CEF" w:rsidR="007A1F9E" w:rsidRDefault="007A1F9E" w:rsidP="0036170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we discussed </w:t>
      </w:r>
      <w:r w:rsidR="00475A4C">
        <w:rPr>
          <w:lang w:val="en-US" w:eastAsia="zh-CN"/>
        </w:rPr>
        <w:t xml:space="preserve">inter-cell </w:t>
      </w:r>
      <w:r w:rsidR="002454C7">
        <w:rPr>
          <w:lang w:val="en-US" w:eastAsia="zh-CN"/>
        </w:rPr>
        <w:t>multi-TRP enhancement</w:t>
      </w:r>
      <w:r>
        <w:rPr>
          <w:lang w:val="en-US" w:eastAsia="zh-CN"/>
        </w:rPr>
        <w:t>. Based on the discussion, the following proposals have been achieved.</w:t>
      </w:r>
    </w:p>
    <w:p w14:paraId="51715452" w14:textId="77777777" w:rsidR="00FB6A72" w:rsidRPr="00FB6A72" w:rsidRDefault="00FB6A72" w:rsidP="00FB6A72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FB6A72">
        <w:rPr>
          <w:b/>
          <w:bCs/>
          <w:i/>
          <w:iCs/>
          <w:lang w:val="en-US" w:eastAsia="zh-CN"/>
        </w:rPr>
        <w:t>Proposal 1: For inter-cell multi-TRP operation, support option 2/3/5 to define the association between TCI and non-serving cell information, where an indicator can be used to provide the linkage between non-serving cell information and a TCI</w:t>
      </w:r>
    </w:p>
    <w:p w14:paraId="3E2A992F" w14:textId="478B38F6" w:rsidR="00232EDC" w:rsidRPr="00FB6A72" w:rsidRDefault="00FB6A72" w:rsidP="00FB6A72">
      <w:pPr>
        <w:pStyle w:val="0Maintext"/>
        <w:numPr>
          <w:ilvl w:val="0"/>
          <w:numId w:val="29"/>
        </w:numPr>
        <w:spacing w:after="120" w:afterAutospacing="0" w:line="240" w:lineRule="auto"/>
        <w:rPr>
          <w:b/>
          <w:bCs/>
          <w:i/>
          <w:iCs/>
          <w:lang w:val="en-US" w:eastAsia="zh-CN"/>
        </w:rPr>
      </w:pPr>
      <w:r w:rsidRPr="00FB6A72">
        <w:rPr>
          <w:b/>
          <w:bCs/>
          <w:i/>
          <w:iCs/>
          <w:lang w:val="en-US" w:eastAsia="zh-CN"/>
        </w:rPr>
        <w:t>The TCI with the same indicator should be associated with the same CORESETPoolIndex</w:t>
      </w:r>
    </w:p>
    <w:p w14:paraId="558F047E" w14:textId="77777777" w:rsidR="00FB6A72" w:rsidRPr="00232EDC" w:rsidRDefault="00FB6A72" w:rsidP="00FB6A72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232ED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2</w:t>
      </w:r>
      <w:r w:rsidRPr="00232EDC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>Support to introduce a UE capability to report the following information</w:t>
      </w:r>
    </w:p>
    <w:p w14:paraId="6AAC3887" w14:textId="77777777" w:rsidR="00FB6A72" w:rsidRPr="00FB6A72" w:rsidRDefault="00FB6A72" w:rsidP="00FB6A72">
      <w:pPr>
        <w:pStyle w:val="0Maintext"/>
        <w:numPr>
          <w:ilvl w:val="0"/>
          <w:numId w:val="25"/>
        </w:numPr>
        <w:spacing w:after="120" w:line="240" w:lineRule="auto"/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>W</w:t>
      </w:r>
      <w:r w:rsidRPr="00FB6A72">
        <w:rPr>
          <w:b/>
          <w:bCs/>
          <w:i/>
          <w:iCs/>
          <w:lang w:eastAsia="zh-CN"/>
        </w:rPr>
        <w:t xml:space="preserve">hether PDSCH /PDCCH from serving cell (PCI) is rate matched around non-serving cell SSB </w:t>
      </w:r>
    </w:p>
    <w:p w14:paraId="6C017C51" w14:textId="77777777" w:rsidR="00FB6A72" w:rsidRPr="00FB6A72" w:rsidRDefault="00FB6A72" w:rsidP="00FB6A72">
      <w:pPr>
        <w:pStyle w:val="0Maintext"/>
        <w:numPr>
          <w:ilvl w:val="0"/>
          <w:numId w:val="25"/>
        </w:numPr>
        <w:spacing w:after="120"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t>Whether</w:t>
      </w:r>
      <w:r w:rsidRPr="00FB6A72">
        <w:rPr>
          <w:b/>
          <w:bCs/>
          <w:i/>
          <w:iCs/>
        </w:rPr>
        <w:t xml:space="preserve"> PDSCH/PDCCH from non-serving cell (PCI) associated with TCI state and/or QCL-info is rate matched around serving cell SSB</w:t>
      </w:r>
    </w:p>
    <w:p w14:paraId="508691AA" w14:textId="77777777" w:rsidR="00FB6A72" w:rsidRPr="00FB6A72" w:rsidRDefault="00FB6A72" w:rsidP="007A1F9E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eastAsia="zh-CN"/>
        </w:rPr>
      </w:pPr>
    </w:p>
    <w:p w14:paraId="19B8461C" w14:textId="77777777" w:rsidR="007A1F9E" w:rsidRPr="007A1F9E" w:rsidRDefault="007A1F9E" w:rsidP="0036170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5A10E88B" w14:textId="6E7BC659" w:rsidR="002134C9" w:rsidRDefault="002134C9" w:rsidP="002134C9">
      <w:pPr>
        <w:pStyle w:val="0Maintext"/>
        <w:spacing w:after="120" w:afterAutospacing="0" w:line="240" w:lineRule="auto"/>
        <w:rPr>
          <w:lang w:val="en-US" w:eastAsia="zh-CN"/>
        </w:rPr>
      </w:pPr>
    </w:p>
    <w:p w14:paraId="48D3502F" w14:textId="77777777" w:rsidR="002134C9" w:rsidRPr="00E55EB5" w:rsidRDefault="002134C9" w:rsidP="00041988">
      <w:pPr>
        <w:pStyle w:val="0Maintext"/>
        <w:spacing w:after="120" w:afterAutospacing="0" w:line="240" w:lineRule="auto"/>
        <w:rPr>
          <w:lang w:val="en-US"/>
        </w:rPr>
      </w:pPr>
    </w:p>
    <w:sectPr w:rsidR="002134C9" w:rsidRPr="00E55EB5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000001F6">
      <w:start w:val="1"/>
      <w:numFmt w:val="bullet"/>
      <w:lvlText w:val="◦"/>
      <w:lvlJc w:val="left"/>
      <w:pPr>
        <w:ind w:left="1440" w:hanging="360"/>
      </w:pPr>
    </w:lvl>
    <w:lvl w:ilvl="2" w:tplc="000001F7">
      <w:start w:val="1"/>
      <w:numFmt w:val="bullet"/>
      <w:lvlText w:val="▪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981661"/>
    <w:multiLevelType w:val="hybridMultilevel"/>
    <w:tmpl w:val="E79AC0B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5" w15:restartNumberingAfterBreak="0">
    <w:nsid w:val="152E2D4E"/>
    <w:multiLevelType w:val="hybridMultilevel"/>
    <w:tmpl w:val="57C4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B1FD6"/>
    <w:multiLevelType w:val="hybridMultilevel"/>
    <w:tmpl w:val="243C6E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C765C81"/>
    <w:multiLevelType w:val="hybridMultilevel"/>
    <w:tmpl w:val="C01EF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77D25"/>
    <w:multiLevelType w:val="hybridMultilevel"/>
    <w:tmpl w:val="956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90CC9"/>
    <w:multiLevelType w:val="hybridMultilevel"/>
    <w:tmpl w:val="6026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F2B29"/>
    <w:multiLevelType w:val="hybridMultilevel"/>
    <w:tmpl w:val="F748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887BD8"/>
    <w:multiLevelType w:val="hybridMultilevel"/>
    <w:tmpl w:val="DD162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182E5A"/>
    <w:multiLevelType w:val="hybridMultilevel"/>
    <w:tmpl w:val="C0480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37B25"/>
    <w:multiLevelType w:val="hybridMultilevel"/>
    <w:tmpl w:val="FC92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8" w15:restartNumberingAfterBreak="0">
    <w:nsid w:val="482D2D8E"/>
    <w:multiLevelType w:val="hybridMultilevel"/>
    <w:tmpl w:val="F170D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F17B27"/>
    <w:multiLevelType w:val="hybridMultilevel"/>
    <w:tmpl w:val="CCA8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DCD6C3B"/>
    <w:multiLevelType w:val="hybridMultilevel"/>
    <w:tmpl w:val="B386A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F35EB"/>
    <w:multiLevelType w:val="hybridMultilevel"/>
    <w:tmpl w:val="6A745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8D6E14"/>
    <w:multiLevelType w:val="hybridMultilevel"/>
    <w:tmpl w:val="6D12C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E078C"/>
    <w:multiLevelType w:val="hybridMultilevel"/>
    <w:tmpl w:val="FD10F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A23E6C"/>
    <w:multiLevelType w:val="hybridMultilevel"/>
    <w:tmpl w:val="D1B21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26"/>
  </w:num>
  <w:num w:numId="6">
    <w:abstractNumId w:val="27"/>
  </w:num>
  <w:num w:numId="7">
    <w:abstractNumId w:val="2"/>
  </w:num>
  <w:num w:numId="8">
    <w:abstractNumId w:val="8"/>
  </w:num>
  <w:num w:numId="9">
    <w:abstractNumId w:val="5"/>
  </w:num>
  <w:num w:numId="10">
    <w:abstractNumId w:val="4"/>
  </w:num>
  <w:num w:numId="11">
    <w:abstractNumId w:val="10"/>
  </w:num>
  <w:num w:numId="12">
    <w:abstractNumId w:val="9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0"/>
  </w:num>
  <w:num w:numId="15">
    <w:abstractNumId w:val="15"/>
  </w:num>
  <w:num w:numId="16">
    <w:abstractNumId w:val="25"/>
  </w:num>
  <w:num w:numId="17">
    <w:abstractNumId w:val="19"/>
  </w:num>
  <w:num w:numId="18">
    <w:abstractNumId w:val="21"/>
  </w:num>
  <w:num w:numId="19">
    <w:abstractNumId w:val="12"/>
  </w:num>
  <w:num w:numId="20">
    <w:abstractNumId w:val="28"/>
  </w:num>
  <w:num w:numId="21">
    <w:abstractNumId w:val="23"/>
  </w:num>
  <w:num w:numId="22">
    <w:abstractNumId w:val="16"/>
  </w:num>
  <w:num w:numId="23">
    <w:abstractNumId w:val="24"/>
  </w:num>
  <w:num w:numId="24">
    <w:abstractNumId w:val="14"/>
  </w:num>
  <w:num w:numId="25">
    <w:abstractNumId w:val="18"/>
  </w:num>
  <w:num w:numId="26">
    <w:abstractNumId w:val="22"/>
  </w:num>
  <w:num w:numId="27">
    <w:abstractNumId w:val="13"/>
  </w:num>
  <w:num w:numId="28">
    <w:abstractNumId w:val="17"/>
  </w:num>
  <w:num w:numId="29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17B94"/>
    <w:rsid w:val="00017E93"/>
    <w:rsid w:val="000212EC"/>
    <w:rsid w:val="00031D27"/>
    <w:rsid w:val="00031E68"/>
    <w:rsid w:val="000354D1"/>
    <w:rsid w:val="00037E22"/>
    <w:rsid w:val="00041988"/>
    <w:rsid w:val="00044CC2"/>
    <w:rsid w:val="00046585"/>
    <w:rsid w:val="00050D4A"/>
    <w:rsid w:val="000531E2"/>
    <w:rsid w:val="00055D16"/>
    <w:rsid w:val="00055F76"/>
    <w:rsid w:val="0005612B"/>
    <w:rsid w:val="000605BB"/>
    <w:rsid w:val="00062AD2"/>
    <w:rsid w:val="0006765A"/>
    <w:rsid w:val="0007732F"/>
    <w:rsid w:val="00085223"/>
    <w:rsid w:val="000A1890"/>
    <w:rsid w:val="000D0B8C"/>
    <w:rsid w:val="000D0F78"/>
    <w:rsid w:val="000D2660"/>
    <w:rsid w:val="000E10FE"/>
    <w:rsid w:val="000F2C70"/>
    <w:rsid w:val="0010269A"/>
    <w:rsid w:val="0012163E"/>
    <w:rsid w:val="00127219"/>
    <w:rsid w:val="0013108B"/>
    <w:rsid w:val="00140849"/>
    <w:rsid w:val="001511AC"/>
    <w:rsid w:val="00153773"/>
    <w:rsid w:val="00161E92"/>
    <w:rsid w:val="00162C20"/>
    <w:rsid w:val="0018214E"/>
    <w:rsid w:val="0018607A"/>
    <w:rsid w:val="00193222"/>
    <w:rsid w:val="00194BBD"/>
    <w:rsid w:val="001A5A42"/>
    <w:rsid w:val="001A5F2D"/>
    <w:rsid w:val="001D4551"/>
    <w:rsid w:val="001E62A2"/>
    <w:rsid w:val="001F1442"/>
    <w:rsid w:val="00203A0D"/>
    <w:rsid w:val="002134C9"/>
    <w:rsid w:val="0022367D"/>
    <w:rsid w:val="00232779"/>
    <w:rsid w:val="00232EDC"/>
    <w:rsid w:val="002454C7"/>
    <w:rsid w:val="00245D27"/>
    <w:rsid w:val="00252B41"/>
    <w:rsid w:val="00266E0F"/>
    <w:rsid w:val="0027181A"/>
    <w:rsid w:val="00274F27"/>
    <w:rsid w:val="00284AB0"/>
    <w:rsid w:val="00285B13"/>
    <w:rsid w:val="002948FF"/>
    <w:rsid w:val="0029769A"/>
    <w:rsid w:val="002A0285"/>
    <w:rsid w:val="002A274D"/>
    <w:rsid w:val="002A5B21"/>
    <w:rsid w:val="002B0171"/>
    <w:rsid w:val="002B72F3"/>
    <w:rsid w:val="002C4EFD"/>
    <w:rsid w:val="002E6F65"/>
    <w:rsid w:val="0030554A"/>
    <w:rsid w:val="003105DC"/>
    <w:rsid w:val="00315F36"/>
    <w:rsid w:val="003262D0"/>
    <w:rsid w:val="00326AED"/>
    <w:rsid w:val="0034417B"/>
    <w:rsid w:val="00344AE3"/>
    <w:rsid w:val="00351207"/>
    <w:rsid w:val="003534EB"/>
    <w:rsid w:val="00361704"/>
    <w:rsid w:val="00361D33"/>
    <w:rsid w:val="00366F52"/>
    <w:rsid w:val="00367DFA"/>
    <w:rsid w:val="003802E1"/>
    <w:rsid w:val="0038526E"/>
    <w:rsid w:val="003856D0"/>
    <w:rsid w:val="003A7CA0"/>
    <w:rsid w:val="003B620C"/>
    <w:rsid w:val="003C49B0"/>
    <w:rsid w:val="003D51F2"/>
    <w:rsid w:val="003E66DF"/>
    <w:rsid w:val="003E75B6"/>
    <w:rsid w:val="00417FC9"/>
    <w:rsid w:val="00446F00"/>
    <w:rsid w:val="004527EA"/>
    <w:rsid w:val="00461B15"/>
    <w:rsid w:val="00475A4C"/>
    <w:rsid w:val="00493FB2"/>
    <w:rsid w:val="004A2991"/>
    <w:rsid w:val="004A41EF"/>
    <w:rsid w:val="004B3124"/>
    <w:rsid w:val="004B368D"/>
    <w:rsid w:val="004B4D8D"/>
    <w:rsid w:val="004B74CC"/>
    <w:rsid w:val="004B7C51"/>
    <w:rsid w:val="004C4A14"/>
    <w:rsid w:val="004D79CD"/>
    <w:rsid w:val="005062CA"/>
    <w:rsid w:val="00517ADD"/>
    <w:rsid w:val="00523D91"/>
    <w:rsid w:val="005327E9"/>
    <w:rsid w:val="0053782C"/>
    <w:rsid w:val="00556671"/>
    <w:rsid w:val="0057794A"/>
    <w:rsid w:val="00583230"/>
    <w:rsid w:val="0059417B"/>
    <w:rsid w:val="00596063"/>
    <w:rsid w:val="005B0F7A"/>
    <w:rsid w:val="005B1AD1"/>
    <w:rsid w:val="005B6997"/>
    <w:rsid w:val="005C6A60"/>
    <w:rsid w:val="005D45F7"/>
    <w:rsid w:val="005D5233"/>
    <w:rsid w:val="005E275C"/>
    <w:rsid w:val="005F7A0E"/>
    <w:rsid w:val="00604C3D"/>
    <w:rsid w:val="006131DF"/>
    <w:rsid w:val="0061765C"/>
    <w:rsid w:val="00622552"/>
    <w:rsid w:val="00626534"/>
    <w:rsid w:val="00631A14"/>
    <w:rsid w:val="00631E79"/>
    <w:rsid w:val="00634AF5"/>
    <w:rsid w:val="00636D7B"/>
    <w:rsid w:val="00641951"/>
    <w:rsid w:val="00645994"/>
    <w:rsid w:val="006531B1"/>
    <w:rsid w:val="00666868"/>
    <w:rsid w:val="00682F29"/>
    <w:rsid w:val="006A45D6"/>
    <w:rsid w:val="006A57C0"/>
    <w:rsid w:val="006C4E0D"/>
    <w:rsid w:val="006D54CF"/>
    <w:rsid w:val="006E6598"/>
    <w:rsid w:val="006F07E3"/>
    <w:rsid w:val="006F0EC9"/>
    <w:rsid w:val="00707829"/>
    <w:rsid w:val="007128A2"/>
    <w:rsid w:val="00720EBF"/>
    <w:rsid w:val="00727B93"/>
    <w:rsid w:val="00732388"/>
    <w:rsid w:val="0073426D"/>
    <w:rsid w:val="00751E2A"/>
    <w:rsid w:val="0075517A"/>
    <w:rsid w:val="007570AB"/>
    <w:rsid w:val="00770366"/>
    <w:rsid w:val="007727CB"/>
    <w:rsid w:val="0078114E"/>
    <w:rsid w:val="0079632E"/>
    <w:rsid w:val="007A1F9E"/>
    <w:rsid w:val="007E3054"/>
    <w:rsid w:val="007E554B"/>
    <w:rsid w:val="007E6FF6"/>
    <w:rsid w:val="007F128C"/>
    <w:rsid w:val="007F4737"/>
    <w:rsid w:val="008149CF"/>
    <w:rsid w:val="00820D52"/>
    <w:rsid w:val="00822058"/>
    <w:rsid w:val="0083672B"/>
    <w:rsid w:val="00860F75"/>
    <w:rsid w:val="0086391A"/>
    <w:rsid w:val="00882A4D"/>
    <w:rsid w:val="00887C4A"/>
    <w:rsid w:val="0089138A"/>
    <w:rsid w:val="00894787"/>
    <w:rsid w:val="00894B5F"/>
    <w:rsid w:val="008A0861"/>
    <w:rsid w:val="008A25E9"/>
    <w:rsid w:val="008A5F33"/>
    <w:rsid w:val="008A65A1"/>
    <w:rsid w:val="008B24BF"/>
    <w:rsid w:val="008C2187"/>
    <w:rsid w:val="008D0789"/>
    <w:rsid w:val="008D6AE1"/>
    <w:rsid w:val="008F11CC"/>
    <w:rsid w:val="008F535A"/>
    <w:rsid w:val="00901D2D"/>
    <w:rsid w:val="00906E5E"/>
    <w:rsid w:val="00911E05"/>
    <w:rsid w:val="00911EFA"/>
    <w:rsid w:val="009169C4"/>
    <w:rsid w:val="00916E49"/>
    <w:rsid w:val="00920227"/>
    <w:rsid w:val="00922BBD"/>
    <w:rsid w:val="00923A3D"/>
    <w:rsid w:val="009242FD"/>
    <w:rsid w:val="00927D99"/>
    <w:rsid w:val="009351FA"/>
    <w:rsid w:val="00935AC3"/>
    <w:rsid w:val="0095741E"/>
    <w:rsid w:val="009622B6"/>
    <w:rsid w:val="00965BA8"/>
    <w:rsid w:val="00977119"/>
    <w:rsid w:val="00983F09"/>
    <w:rsid w:val="00985108"/>
    <w:rsid w:val="00985F99"/>
    <w:rsid w:val="00992D77"/>
    <w:rsid w:val="00993596"/>
    <w:rsid w:val="00997267"/>
    <w:rsid w:val="009D18CF"/>
    <w:rsid w:val="009D1C4F"/>
    <w:rsid w:val="009E0E57"/>
    <w:rsid w:val="009E16AA"/>
    <w:rsid w:val="009F58CE"/>
    <w:rsid w:val="009F7D20"/>
    <w:rsid w:val="00A13568"/>
    <w:rsid w:val="00A352F0"/>
    <w:rsid w:val="00A41EE3"/>
    <w:rsid w:val="00A805B9"/>
    <w:rsid w:val="00A80DF8"/>
    <w:rsid w:val="00A86777"/>
    <w:rsid w:val="00A93DEE"/>
    <w:rsid w:val="00A95A78"/>
    <w:rsid w:val="00AA4EE3"/>
    <w:rsid w:val="00AB0956"/>
    <w:rsid w:val="00AB26E1"/>
    <w:rsid w:val="00AC2430"/>
    <w:rsid w:val="00AD1997"/>
    <w:rsid w:val="00AF13FC"/>
    <w:rsid w:val="00AF7DC9"/>
    <w:rsid w:val="00B0669A"/>
    <w:rsid w:val="00B12FE5"/>
    <w:rsid w:val="00B23EB7"/>
    <w:rsid w:val="00B4058C"/>
    <w:rsid w:val="00B658E6"/>
    <w:rsid w:val="00B72388"/>
    <w:rsid w:val="00B76F27"/>
    <w:rsid w:val="00B81924"/>
    <w:rsid w:val="00B86B50"/>
    <w:rsid w:val="00B875E8"/>
    <w:rsid w:val="00BA2E33"/>
    <w:rsid w:val="00BB64B1"/>
    <w:rsid w:val="00BB7080"/>
    <w:rsid w:val="00BD1C70"/>
    <w:rsid w:val="00BD5870"/>
    <w:rsid w:val="00BE2B6D"/>
    <w:rsid w:val="00BF487F"/>
    <w:rsid w:val="00BF6DEF"/>
    <w:rsid w:val="00C20B5B"/>
    <w:rsid w:val="00C2111A"/>
    <w:rsid w:val="00C25A82"/>
    <w:rsid w:val="00C36E32"/>
    <w:rsid w:val="00C46B5C"/>
    <w:rsid w:val="00C66A4A"/>
    <w:rsid w:val="00C70860"/>
    <w:rsid w:val="00C8088E"/>
    <w:rsid w:val="00C84FE2"/>
    <w:rsid w:val="00CB1134"/>
    <w:rsid w:val="00CB3368"/>
    <w:rsid w:val="00CB39B6"/>
    <w:rsid w:val="00CB5D21"/>
    <w:rsid w:val="00CD27DB"/>
    <w:rsid w:val="00CE171E"/>
    <w:rsid w:val="00CE2EA5"/>
    <w:rsid w:val="00CE7503"/>
    <w:rsid w:val="00D07261"/>
    <w:rsid w:val="00D1218B"/>
    <w:rsid w:val="00D177E7"/>
    <w:rsid w:val="00D22343"/>
    <w:rsid w:val="00D263F1"/>
    <w:rsid w:val="00D313A3"/>
    <w:rsid w:val="00D402CA"/>
    <w:rsid w:val="00D44CB2"/>
    <w:rsid w:val="00D45E02"/>
    <w:rsid w:val="00D516C8"/>
    <w:rsid w:val="00D623A6"/>
    <w:rsid w:val="00D82BE1"/>
    <w:rsid w:val="00D9083F"/>
    <w:rsid w:val="00DB1A36"/>
    <w:rsid w:val="00DB481F"/>
    <w:rsid w:val="00DE6C20"/>
    <w:rsid w:val="00DF0066"/>
    <w:rsid w:val="00DF7804"/>
    <w:rsid w:val="00E00694"/>
    <w:rsid w:val="00E06A06"/>
    <w:rsid w:val="00E10633"/>
    <w:rsid w:val="00E11B95"/>
    <w:rsid w:val="00E327AE"/>
    <w:rsid w:val="00E36C1E"/>
    <w:rsid w:val="00E55EB5"/>
    <w:rsid w:val="00E56A0E"/>
    <w:rsid w:val="00E60394"/>
    <w:rsid w:val="00E80518"/>
    <w:rsid w:val="00E852C2"/>
    <w:rsid w:val="00EA73C1"/>
    <w:rsid w:val="00EB4CAE"/>
    <w:rsid w:val="00EC0F55"/>
    <w:rsid w:val="00EC2A35"/>
    <w:rsid w:val="00ED0C58"/>
    <w:rsid w:val="00EE18CC"/>
    <w:rsid w:val="00EF7114"/>
    <w:rsid w:val="00F01BD8"/>
    <w:rsid w:val="00F05BCC"/>
    <w:rsid w:val="00F17D02"/>
    <w:rsid w:val="00F24869"/>
    <w:rsid w:val="00F36F33"/>
    <w:rsid w:val="00F37734"/>
    <w:rsid w:val="00F419A6"/>
    <w:rsid w:val="00F43CD1"/>
    <w:rsid w:val="00F763E7"/>
    <w:rsid w:val="00F77E38"/>
    <w:rsid w:val="00F86C35"/>
    <w:rsid w:val="00F874FE"/>
    <w:rsid w:val="00F87CB0"/>
    <w:rsid w:val="00FA0560"/>
    <w:rsid w:val="00FA48C3"/>
    <w:rsid w:val="00FA538C"/>
    <w:rsid w:val="00FB6A72"/>
    <w:rsid w:val="00FE04B1"/>
    <w:rsid w:val="00FE2969"/>
    <w:rsid w:val="00FE455C"/>
    <w:rsid w:val="00FE5522"/>
    <w:rsid w:val="00FE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222"/>
    <w:rPr>
      <w:rFonts w:ascii="Times New Roman" w:eastAsia="Times New Roman" w:hAnsi="Times New Roman" w:cs="Times New Roman"/>
      <w:lang w:val="en-C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  <w:lang w:val="en-US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  <w:lang w:val="en-US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  <w:lang w:val="en-US"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  <w:rPr>
      <w:lang w:val="en-US"/>
    </w:r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6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val="en-US" w:eastAsia="x-none"/>
    </w:rPr>
  </w:style>
  <w:style w:type="paragraph" w:customStyle="1" w:styleId="B2">
    <w:name w:val="B2"/>
    <w:basedOn w:val="Normal"/>
    <w:link w:val="B2Char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DefaultParagraphFont"/>
    <w:qFormat/>
    <w:rsid w:val="00F77E38"/>
  </w:style>
  <w:style w:type="paragraph" w:customStyle="1" w:styleId="paragraph">
    <w:name w:val="paragraph"/>
    <w:basedOn w:val="Normal"/>
    <w:uiPriority w:val="99"/>
    <w:qFormat/>
    <w:rsid w:val="00631E79"/>
    <w:pPr>
      <w:spacing w:before="100" w:beforeAutospacing="1" w:after="100" w:afterAutospacing="1"/>
    </w:pPr>
    <w:rPr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10</cp:revision>
  <dcterms:created xsi:type="dcterms:W3CDTF">2021-03-25T06:57:00Z</dcterms:created>
  <dcterms:modified xsi:type="dcterms:W3CDTF">2021-04-04T06:04:00Z</dcterms:modified>
</cp:coreProperties>
</file>